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0000" w:rsidRDefault="00A73B5F">
      <w:pPr>
        <w:jc w:val="right"/>
      </w:pPr>
      <w:bookmarkStart w:id="0" w:name="_GoBack"/>
      <w:bookmarkEnd w:id="0"/>
      <w:r>
        <w:rPr>
          <w:b/>
          <w:bCs/>
        </w:rPr>
        <w:t>Policy: 5315</w:t>
      </w:r>
      <w:r>
        <w:rPr>
          <w:b/>
          <w:bCs/>
        </w:rPr>
        <w:br/>
        <w:t>Section: 5000 - Personnel</w:t>
      </w:r>
    </w:p>
    <w:p w:rsidR="00000000" w:rsidRDefault="00A73B5F">
      <w:pPr>
        <w:rPr>
          <w:rFonts w:ascii="Times New Roman" w:eastAsia="Times New Roman" w:hAnsi="Times New Roman"/>
          <w:sz w:val="24"/>
          <w:szCs w:val="24"/>
        </w:rPr>
      </w:pPr>
      <w:r>
        <w:rPr>
          <w:rFonts w:ascii="Times New Roman" w:eastAsia="Times New Roman" w:hAnsi="Times New Roman"/>
          <w:sz w:val="24"/>
          <w:szCs w:val="24"/>
        </w:rPr>
        <w:pict>
          <v:rect id="_x0000_i1025" style="width:0;height:1.5pt" o:hralign="center" o:hrstd="t" o:hr="t" fillcolor="#a0a0a0" stroked="f"/>
        </w:pict>
      </w:r>
    </w:p>
    <w:p w:rsidR="00000000" w:rsidRDefault="00A73B5F">
      <w:pPr>
        <w:rPr>
          <w:rFonts w:ascii="Times New Roman" w:eastAsia="Times New Roman" w:hAnsi="Times New Roman"/>
          <w:sz w:val="24"/>
          <w:szCs w:val="24"/>
        </w:rPr>
      </w:pPr>
    </w:p>
    <w:p w:rsidR="00000000" w:rsidRDefault="00A73B5F">
      <w:pPr>
        <w:pStyle w:val="NormalWeb"/>
        <w:rPr>
          <w:sz w:val="32"/>
          <w:szCs w:val="32"/>
        </w:rPr>
      </w:pPr>
      <w:r>
        <w:rPr>
          <w:b/>
          <w:bCs/>
          <w:sz w:val="32"/>
          <w:szCs w:val="32"/>
        </w:rPr>
        <w:t>Garnishment and Personal Credit Problems</w:t>
      </w:r>
    </w:p>
    <w:p w:rsidR="00000000" w:rsidRDefault="00A73B5F">
      <w:pPr>
        <w:rPr>
          <w:rFonts w:ascii="Times New Roman" w:eastAsia="Times New Roman" w:hAnsi="Times New Roman"/>
          <w:sz w:val="24"/>
          <w:szCs w:val="24"/>
        </w:rPr>
      </w:pPr>
    </w:p>
    <w:p w:rsidR="00000000" w:rsidRDefault="00A73B5F">
      <w:pPr>
        <w:pStyle w:val="NormalWeb"/>
      </w:pPr>
      <w:r>
        <w:rPr>
          <w:sz w:val="17"/>
          <w:szCs w:val="17"/>
        </w:rPr>
        <w:t xml:space="preserve">When so ordered by the superior and district courts, the U.S. Secretary of Education or the Secretary’s guaranty agency (in the case of defaulted student loans), the district </w:t>
      </w:r>
      <w:r>
        <w:rPr>
          <w:sz w:val="17"/>
          <w:szCs w:val="17"/>
        </w:rPr>
        <w:t>will comply with the directives of a Writ of Garnishment filed against a staff member of the district. Each garnishment or action for collection of debts will be reviewed by the superintendent and such information will become a part of the record of the st</w:t>
      </w:r>
      <w:r>
        <w:rPr>
          <w:sz w:val="17"/>
          <w:szCs w:val="17"/>
        </w:rPr>
        <w:t>aff member. Attempts will be made to counsel or provide a referral for any such staff member with regard to the staff member’s financial problems. The district will not discharge a staff member for the reason that a creditor of the staff member has subject</w:t>
      </w:r>
      <w:r>
        <w:rPr>
          <w:sz w:val="17"/>
          <w:szCs w:val="17"/>
        </w:rPr>
        <w:t xml:space="preserve">ed or attempted to subject unpaid earnings of the employee to a writ of wage garnishment directed to the district. This provision will not apply if the garnishments on three or more separate indebtednesses are served upon the district within any period of </w:t>
      </w:r>
      <w:r>
        <w:rPr>
          <w:sz w:val="17"/>
          <w:szCs w:val="17"/>
        </w:rPr>
        <w:t>twelve (12) consecutive months by the superior or district courts.</w:t>
      </w:r>
    </w:p>
    <w:p w:rsidR="00000000" w:rsidRDefault="00A73B5F">
      <w:pPr>
        <w:spacing w:after="240"/>
        <w:rPr>
          <w:rFonts w:ascii="Times New Roman" w:eastAsia="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6315"/>
      </w:tblGrid>
      <w:tr w:rsidR="00000000">
        <w:trPr>
          <w:tblCellSpacing w:w="15" w:type="dxa"/>
        </w:trPr>
        <w:tc>
          <w:tcPr>
            <w:tcW w:w="3000" w:type="dxa"/>
            <w:vAlign w:val="center"/>
            <w:hideMark/>
          </w:tcPr>
          <w:p w:rsidR="00000000" w:rsidRDefault="00A73B5F">
            <w:r>
              <w:t xml:space="preserve">Legal References: </w:t>
            </w:r>
          </w:p>
        </w:tc>
        <w:tc>
          <w:tcPr>
            <w:tcW w:w="0" w:type="auto"/>
            <w:vAlign w:val="center"/>
            <w:hideMark/>
          </w:tcPr>
          <w:p w:rsidR="00000000" w:rsidRDefault="00A73B5F">
            <w:r>
              <w:t xml:space="preserve">RCW 6.27.040 State and municipal corporations subject to garnishment — Service of writ </w:t>
            </w:r>
          </w:p>
        </w:tc>
      </w:tr>
      <w:tr w:rsidR="00000000">
        <w:trPr>
          <w:tblCellSpacing w:w="15" w:type="dxa"/>
        </w:trPr>
        <w:tc>
          <w:tcPr>
            <w:tcW w:w="3000" w:type="dxa"/>
            <w:vAlign w:val="center"/>
            <w:hideMark/>
          </w:tcPr>
          <w:p w:rsidR="00000000" w:rsidRDefault="00A73B5F"/>
        </w:tc>
        <w:tc>
          <w:tcPr>
            <w:tcW w:w="0" w:type="auto"/>
            <w:vAlign w:val="center"/>
            <w:hideMark/>
          </w:tcPr>
          <w:p w:rsidR="00000000" w:rsidRDefault="00A73B5F">
            <w:r>
              <w:t xml:space="preserve">RCW 6.27.170 Garnished employee not to be discharged — Exception </w:t>
            </w:r>
          </w:p>
        </w:tc>
      </w:tr>
      <w:tr w:rsidR="00000000">
        <w:trPr>
          <w:tblCellSpacing w:w="15" w:type="dxa"/>
        </w:trPr>
        <w:tc>
          <w:tcPr>
            <w:tcW w:w="3000" w:type="dxa"/>
            <w:vAlign w:val="center"/>
            <w:hideMark/>
          </w:tcPr>
          <w:p w:rsidR="00000000" w:rsidRDefault="00A73B5F"/>
        </w:tc>
        <w:tc>
          <w:tcPr>
            <w:tcW w:w="0" w:type="auto"/>
            <w:vAlign w:val="center"/>
            <w:hideMark/>
          </w:tcPr>
          <w:p w:rsidR="00000000" w:rsidRDefault="00A73B5F">
            <w:pPr>
              <w:rPr>
                <w:rFonts w:ascii="Times New Roman" w:eastAsia="Times New Roman" w:hAnsi="Times New Roman"/>
                <w:szCs w:val="20"/>
              </w:rPr>
            </w:pPr>
          </w:p>
        </w:tc>
      </w:tr>
    </w:tbl>
    <w:p w:rsidR="00000000" w:rsidRDefault="00A73B5F">
      <w:pPr>
        <w:spacing w:after="240"/>
        <w:rPr>
          <w:rFonts w:ascii="Times New Roman" w:eastAsia="Times New Roman" w:hAnsi="Times New Roman"/>
          <w:sz w:val="24"/>
          <w:szCs w:val="24"/>
        </w:rPr>
      </w:pPr>
    </w:p>
    <w:p w:rsidR="00000000" w:rsidRDefault="00A73B5F">
      <w:pPr>
        <w:pStyle w:val="NormalWeb"/>
      </w:pPr>
      <w:r>
        <w:t>Adop</w:t>
      </w:r>
      <w:r>
        <w:t xml:space="preserve">tion Date: </w:t>
      </w:r>
      <w:r>
        <w:br/>
        <w:t xml:space="preserve">Classification: </w:t>
      </w:r>
      <w:r>
        <w:rPr>
          <w:b/>
          <w:bCs/>
        </w:rPr>
        <w:t>Discretionary</w:t>
      </w:r>
      <w:r>
        <w:br/>
        <w:t xml:space="preserve">Revised Dates: </w:t>
      </w:r>
      <w:r>
        <w:rPr>
          <w:b/>
          <w:bCs/>
        </w:rPr>
        <w:t xml:space="preserve">10.98; </w:t>
      </w:r>
    </w:p>
    <w:p w:rsidR="00000000" w:rsidRDefault="00A73B5F">
      <w:pPr>
        <w:rPr>
          <w:rFonts w:ascii="Times New Roman" w:eastAsia="Times New Roman" w:hAnsi="Times New Roman"/>
          <w:sz w:val="24"/>
          <w:szCs w:val="24"/>
        </w:rPr>
      </w:pPr>
    </w:p>
    <w:p w:rsidR="00000000" w:rsidRDefault="00A73B5F">
      <w:pPr>
        <w:rPr>
          <w:rFonts w:ascii="Times New Roman" w:eastAsia="Times New Roman" w:hAnsi="Times New Roman"/>
          <w:sz w:val="24"/>
          <w:szCs w:val="24"/>
        </w:rPr>
      </w:pPr>
      <w:r>
        <w:rPr>
          <w:rFonts w:ascii="Times New Roman" w:eastAsia="Times New Roman" w:hAnsi="Times New Roman"/>
          <w:sz w:val="24"/>
          <w:szCs w:val="24"/>
        </w:rPr>
        <w:pict>
          <v:rect id="_x0000_i1026" style="width:0;height:1.5pt" o:hralign="center" o:hrstd="t" o:hr="t" fillcolor="#a0a0a0" stroked="f"/>
        </w:pict>
      </w:r>
    </w:p>
    <w:p w:rsidR="00A73B5F" w:rsidRDefault="00A73B5F">
      <w:pPr>
        <w:pStyle w:val="NormalWeb"/>
        <w:rPr>
          <w:color w:val="999999"/>
        </w:rPr>
      </w:pPr>
      <w:r>
        <w:rPr>
          <w:color w:val="999999"/>
        </w:rPr>
        <w:t>© 2020-2025 Washington State School Directors' Association. All rights reserved.</w:t>
      </w:r>
    </w:p>
    <w:sectPr w:rsidR="00A73B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9B3E8D"/>
    <w:rsid w:val="009B3E8D"/>
    <w:rsid w:val="00A73B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988E033-D992-4E49-959D-1C1153D67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rPr>
      <w:rFonts w:ascii="Verdana" w:eastAsia="Verdana" w:hAnsi="Verdana"/>
      <w:szCs w:val="22"/>
    </w:rPr>
  </w:style>
  <w:style w:type="paragraph" w:styleId="NormalWeb">
    <w:name w:val="Normal (Web)"/>
    <w:uiPriority w:val="99"/>
    <w:semiHidden/>
    <w:unhideWhenUsed/>
    <w:rPr>
      <w:rFonts w:ascii="Verdana" w:eastAsia="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213</Words>
  <Characters>1215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Alexis Ladiges</dc:creator>
  <cp:keywords/>
  <dc:description/>
  <cp:lastModifiedBy>Alexis Ladiges</cp:lastModifiedBy>
  <cp:revision>2</cp:revision>
  <dcterms:created xsi:type="dcterms:W3CDTF">2020-09-14T18:30:00Z</dcterms:created>
  <dcterms:modified xsi:type="dcterms:W3CDTF">2020-09-14T18:30:00Z</dcterms:modified>
</cp:coreProperties>
</file>